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方正黑体简体" w:hAnsi="Times New Roman" w:eastAsia="方正黑体简体"/>
          <w:sz w:val="32"/>
          <w:szCs w:val="32"/>
        </w:rPr>
      </w:pPr>
      <w:r>
        <w:rPr>
          <w:rFonts w:ascii="方正黑体简体" w:hAnsi="Times New Roman" w:eastAsia="方正黑体简体"/>
          <w:sz w:val="32"/>
          <w:szCs w:val="32"/>
        </w:rPr>
        <w:t>附件4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0" w:lineRule="atLeast"/>
        <w:jc w:val="center"/>
        <w:textAlignment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湖北省青少年科学影像节骨干教师</w:t>
      </w:r>
    </w:p>
    <w:p>
      <w:pPr>
        <w:widowControl/>
        <w:spacing w:line="0" w:lineRule="atLeast"/>
        <w:jc w:val="center"/>
        <w:textAlignment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培训活动报名表</w:t>
      </w:r>
    </w:p>
    <w:p>
      <w:pPr>
        <w:widowControl/>
        <w:spacing w:line="52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250"/>
        <w:tblOverlap w:val="never"/>
        <w:tblW w:w="8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76"/>
        <w:gridCol w:w="955"/>
        <w:gridCol w:w="2623"/>
        <w:gridCol w:w="2284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w w:val="8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w w:val="80"/>
                <w:sz w:val="32"/>
                <w:szCs w:val="32"/>
              </w:rPr>
              <w:t>姓名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w w:val="8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w w:val="80"/>
                <w:sz w:val="32"/>
                <w:szCs w:val="32"/>
              </w:rPr>
              <w:t>性别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w w:val="8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w w:val="80"/>
                <w:sz w:val="32"/>
                <w:szCs w:val="32"/>
              </w:rPr>
              <w:t>民族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w w:val="8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w w:val="80"/>
                <w:sz w:val="32"/>
                <w:szCs w:val="32"/>
              </w:rPr>
              <w:t>工 作 单 位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w w:val="8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w w:val="8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w w:val="8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w w:val="80"/>
                <w:sz w:val="30"/>
                <w:szCs w:val="30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备注：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培训人员为各市州项目管理单位推荐的本地中小学骨干教师2-3名。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 请各市州项目主管于5月17日前，将该表电子版发送至邮箱hbxxas@sina.com。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9D19E"/>
    <w:multiLevelType w:val="singleLevel"/>
    <w:tmpl w:val="7739D19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A7DC8"/>
    <w:rsid w:val="28CB6EFC"/>
    <w:rsid w:val="29B14858"/>
    <w:rsid w:val="3EDA7DC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2019-05-17T01:44:00Z</dcterms:created>
  <dc:creator>得宝娘娘</dc:creator>
  <cp:lastModifiedBy>得宝娘娘</cp:lastModifiedBy>
  <dcterms:modified xsi:type="dcterms:W3CDTF">2019-05-17T01:45:07Z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